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eastAsia="黑体"/>
          <w:kern w:val="0"/>
          <w:sz w:val="32"/>
          <w:szCs w:val="32"/>
          <w:lang w:val="en-US" w:eastAsia="zh-CN"/>
        </w:rPr>
      </w:pPr>
      <w:r>
        <w:rPr>
          <w:rFonts w:eastAsia="黑体"/>
          <w:kern w:val="0"/>
          <w:sz w:val="32"/>
          <w:szCs w:val="32"/>
        </w:rPr>
        <w:t>附件</w:t>
      </w:r>
      <w:r>
        <w:rPr>
          <w:rFonts w:hint="eastAsia" w:eastAsia="黑体"/>
          <w:kern w:val="0"/>
          <w:sz w:val="32"/>
          <w:szCs w:val="32"/>
          <w:lang w:val="en-US" w:eastAsia="zh-CN"/>
        </w:rPr>
        <w:t>5</w:t>
      </w:r>
    </w:p>
    <w:p>
      <w:pPr>
        <w:widowControl/>
        <w:jc w:val="center"/>
        <w:rPr>
          <w:b/>
          <w:bCs/>
          <w:kern w:val="0"/>
          <w:sz w:val="44"/>
          <w:szCs w:val="44"/>
        </w:rPr>
      </w:pPr>
      <w:r>
        <w:rPr>
          <w:b/>
          <w:bCs/>
          <w:kern w:val="0"/>
          <w:sz w:val="44"/>
          <w:szCs w:val="44"/>
        </w:rPr>
        <w:t>考试收费标准</w:t>
      </w:r>
    </w:p>
    <w:tbl>
      <w:tblPr>
        <w:tblStyle w:val="2"/>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933"/>
        <w:gridCol w:w="1933"/>
        <w:gridCol w:w="2179"/>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160" w:type="dxa"/>
            <w:vMerge w:val="restart"/>
            <w:tcBorders>
              <w:top w:val="single" w:color="auto" w:sz="4" w:space="0"/>
              <w:left w:val="single" w:color="auto" w:sz="4" w:space="0"/>
              <w:right w:val="single" w:color="auto" w:sz="4" w:space="0"/>
            </w:tcBorders>
            <w:noWrap w:val="0"/>
            <w:vAlign w:val="center"/>
          </w:tcPr>
          <w:p>
            <w:pPr>
              <w:jc w:val="center"/>
              <w:rPr>
                <w:rFonts w:eastAsia="黑体"/>
                <w:szCs w:val="21"/>
              </w:rPr>
            </w:pPr>
            <w:r>
              <w:rPr>
                <w:rFonts w:eastAsia="黑体"/>
                <w:b/>
                <w:bCs/>
                <w:szCs w:val="21"/>
              </w:rPr>
              <w:t>考试项目</w:t>
            </w:r>
          </w:p>
        </w:tc>
        <w:tc>
          <w:tcPr>
            <w:tcW w:w="3866" w:type="dxa"/>
            <w:gridSpan w:val="2"/>
            <w:tcBorders>
              <w:top w:val="single" w:color="auto" w:sz="4" w:space="0"/>
              <w:left w:val="single" w:color="auto" w:sz="4" w:space="0"/>
              <w:right w:val="single" w:color="auto" w:sz="4" w:space="0"/>
            </w:tcBorders>
            <w:noWrap w:val="0"/>
            <w:vAlign w:val="center"/>
          </w:tcPr>
          <w:p>
            <w:pPr>
              <w:jc w:val="center"/>
              <w:rPr>
                <w:rFonts w:eastAsia="黑体"/>
                <w:szCs w:val="21"/>
              </w:rPr>
            </w:pPr>
            <w:r>
              <w:rPr>
                <w:rFonts w:eastAsia="黑体"/>
                <w:b/>
                <w:bCs/>
                <w:szCs w:val="21"/>
              </w:rPr>
              <w:t>收费标准</w:t>
            </w:r>
          </w:p>
        </w:tc>
        <w:tc>
          <w:tcPr>
            <w:tcW w:w="2179" w:type="dxa"/>
            <w:vMerge w:val="restart"/>
            <w:tcBorders>
              <w:top w:val="single" w:color="auto" w:sz="4" w:space="0"/>
              <w:left w:val="single" w:color="auto" w:sz="4" w:space="0"/>
              <w:right w:val="single" w:color="auto" w:sz="4" w:space="0"/>
            </w:tcBorders>
            <w:noWrap w:val="0"/>
            <w:vAlign w:val="center"/>
          </w:tcPr>
          <w:p>
            <w:pPr>
              <w:jc w:val="center"/>
              <w:rPr>
                <w:rFonts w:eastAsia="黑体"/>
                <w:szCs w:val="21"/>
              </w:rPr>
            </w:pPr>
            <w:r>
              <w:rPr>
                <w:rFonts w:eastAsia="黑体"/>
                <w:b/>
                <w:bCs/>
                <w:szCs w:val="21"/>
              </w:rPr>
              <w:t>收费依据</w:t>
            </w:r>
          </w:p>
        </w:tc>
        <w:tc>
          <w:tcPr>
            <w:tcW w:w="1890" w:type="dxa"/>
            <w:vMerge w:val="restart"/>
            <w:tcBorders>
              <w:top w:val="single" w:color="auto" w:sz="4" w:space="0"/>
              <w:left w:val="single" w:color="auto" w:sz="4" w:space="0"/>
              <w:right w:val="single" w:color="auto" w:sz="4" w:space="0"/>
            </w:tcBorders>
            <w:noWrap w:val="0"/>
            <w:vAlign w:val="center"/>
          </w:tcPr>
          <w:p>
            <w:pPr>
              <w:jc w:val="center"/>
              <w:rPr>
                <w:rFonts w:eastAsia="黑体"/>
                <w:szCs w:val="21"/>
              </w:rPr>
            </w:pPr>
            <w:r>
              <w:rPr>
                <w:rFonts w:eastAsia="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160" w:type="dxa"/>
            <w:vMerge w:val="continue"/>
            <w:tcBorders>
              <w:left w:val="single" w:color="auto" w:sz="4" w:space="0"/>
              <w:bottom w:val="single" w:color="auto" w:sz="4" w:space="0"/>
              <w:right w:val="single" w:color="auto" w:sz="4" w:space="0"/>
            </w:tcBorders>
            <w:noWrap w:val="0"/>
            <w:vAlign w:val="center"/>
          </w:tcPr>
          <w:p>
            <w:pPr>
              <w:jc w:val="center"/>
              <w:rPr>
                <w:rFonts w:eastAsia="黑体"/>
                <w:b/>
                <w:bCs/>
                <w:szCs w:val="21"/>
              </w:rPr>
            </w:pPr>
          </w:p>
        </w:tc>
        <w:tc>
          <w:tcPr>
            <w:tcW w:w="1933" w:type="dxa"/>
            <w:tcBorders>
              <w:top w:val="single" w:color="auto" w:sz="4" w:space="0"/>
              <w:left w:val="single" w:color="auto" w:sz="4" w:space="0"/>
              <w:right w:val="single" w:color="auto" w:sz="4" w:space="0"/>
            </w:tcBorders>
            <w:noWrap w:val="0"/>
            <w:vAlign w:val="center"/>
          </w:tcPr>
          <w:p>
            <w:pPr>
              <w:jc w:val="center"/>
              <w:rPr>
                <w:rFonts w:hint="eastAsia" w:eastAsia="黑体"/>
                <w:b/>
                <w:bCs/>
                <w:szCs w:val="21"/>
              </w:rPr>
            </w:pPr>
            <w:r>
              <w:rPr>
                <w:rFonts w:hint="eastAsia" w:eastAsia="黑体"/>
                <w:b/>
                <w:bCs/>
                <w:szCs w:val="21"/>
              </w:rPr>
              <w:t>考务费</w:t>
            </w:r>
          </w:p>
        </w:tc>
        <w:tc>
          <w:tcPr>
            <w:tcW w:w="1933" w:type="dxa"/>
            <w:tcBorders>
              <w:top w:val="single" w:color="auto" w:sz="4" w:space="0"/>
              <w:left w:val="single" w:color="auto" w:sz="4" w:space="0"/>
              <w:right w:val="single" w:color="auto" w:sz="4" w:space="0"/>
            </w:tcBorders>
            <w:noWrap w:val="0"/>
            <w:vAlign w:val="center"/>
          </w:tcPr>
          <w:p>
            <w:pPr>
              <w:jc w:val="center"/>
              <w:rPr>
                <w:rFonts w:hint="eastAsia" w:eastAsia="黑体"/>
                <w:b/>
                <w:bCs/>
                <w:szCs w:val="21"/>
              </w:rPr>
            </w:pPr>
            <w:r>
              <w:rPr>
                <w:rFonts w:hint="eastAsia" w:eastAsia="黑体"/>
                <w:b/>
                <w:bCs/>
                <w:szCs w:val="21"/>
              </w:rPr>
              <w:t>考试费</w:t>
            </w:r>
          </w:p>
        </w:tc>
        <w:tc>
          <w:tcPr>
            <w:tcW w:w="2179" w:type="dxa"/>
            <w:vMerge w:val="continue"/>
            <w:tcBorders>
              <w:left w:val="single" w:color="auto" w:sz="4" w:space="0"/>
              <w:bottom w:val="single" w:color="auto" w:sz="4" w:space="0"/>
              <w:right w:val="single" w:color="auto" w:sz="4" w:space="0"/>
            </w:tcBorders>
            <w:noWrap w:val="0"/>
            <w:vAlign w:val="center"/>
          </w:tcPr>
          <w:p>
            <w:pPr>
              <w:jc w:val="center"/>
              <w:rPr>
                <w:rFonts w:eastAsia="黑体"/>
                <w:b/>
                <w:bCs/>
                <w:szCs w:val="21"/>
              </w:rPr>
            </w:pPr>
          </w:p>
        </w:tc>
        <w:tc>
          <w:tcPr>
            <w:tcW w:w="1890" w:type="dxa"/>
            <w:vMerge w:val="continue"/>
            <w:tcBorders>
              <w:left w:val="single" w:color="auto" w:sz="4" w:space="0"/>
              <w:bottom w:val="single" w:color="auto" w:sz="4" w:space="0"/>
              <w:right w:val="single" w:color="auto" w:sz="4" w:space="0"/>
            </w:tcBorders>
            <w:noWrap w:val="0"/>
            <w:vAlign w:val="center"/>
          </w:tcPr>
          <w:p>
            <w:pPr>
              <w:jc w:val="center"/>
              <w:rPr>
                <w:rFonts w:eastAsia="黑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6" w:hRule="exac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Cs w:val="21"/>
              </w:rPr>
            </w:pPr>
            <w:r>
              <w:rPr>
                <w:b/>
                <w:bCs/>
                <w:kern w:val="0"/>
                <w:szCs w:val="21"/>
              </w:rPr>
              <w:t>执业药师</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kern w:val="0"/>
                <w:szCs w:val="21"/>
              </w:rPr>
            </w:pPr>
            <w:r>
              <w:rPr>
                <w:rFonts w:hint="eastAsia"/>
                <w:kern w:val="0"/>
                <w:szCs w:val="21"/>
              </w:rPr>
              <w:t>每人每科11元</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每人每科</w:t>
            </w:r>
            <w:r>
              <w:rPr>
                <w:rFonts w:hint="eastAsia"/>
                <w:kern w:val="0"/>
                <w:szCs w:val="21"/>
              </w:rPr>
              <w:t>5</w:t>
            </w:r>
            <w:r>
              <w:rPr>
                <w:rFonts w:hint="eastAsia"/>
                <w:kern w:val="0"/>
                <w:szCs w:val="21"/>
                <w:lang w:val="en-US" w:eastAsia="zh-CN"/>
              </w:rPr>
              <w:t>7</w:t>
            </w:r>
            <w:bookmarkStart w:id="0" w:name="_GoBack"/>
            <w:bookmarkEnd w:id="0"/>
            <w:r>
              <w:rPr>
                <w:kern w:val="0"/>
                <w:szCs w:val="21"/>
              </w:rPr>
              <w:t>元</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ind w:firstLine="315" w:firstLineChars="150"/>
              <w:rPr>
                <w:kern w:val="0"/>
                <w:szCs w:val="21"/>
              </w:rPr>
            </w:pPr>
            <w:r>
              <w:rPr>
                <w:kern w:val="0"/>
                <w:szCs w:val="21"/>
              </w:rPr>
              <w:t>《人力资源社会保障部办公厅关于下发执业药师资格考试等18项专业技术人员资格考试考务费收费标准的通知》（人社厅函〔2015〕278号）和吉省价收函字〔2016〕248号</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kern w:val="0"/>
                <w:szCs w:val="21"/>
              </w:rPr>
            </w:pPr>
            <w:r>
              <w:rPr>
                <w:kern w:val="0"/>
                <w:szCs w:val="21"/>
              </w:rPr>
              <w:t xml:space="preserve">   承担考试报名任务的市州留用考务费4元/科，承担考试组织实施任务的市州留用考试组织费</w:t>
            </w:r>
            <w:r>
              <w:rPr>
                <w:rFonts w:hint="eastAsia"/>
                <w:kern w:val="0"/>
                <w:szCs w:val="21"/>
                <w:lang w:val="en-US" w:eastAsia="zh-CN"/>
              </w:rPr>
              <w:t>4</w:t>
            </w:r>
            <w:r>
              <w:rPr>
                <w:kern w:val="0"/>
                <w:szCs w:val="21"/>
              </w:rPr>
              <w:t>0元/科</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exac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b/>
                <w:bCs/>
                <w:kern w:val="0"/>
                <w:szCs w:val="21"/>
              </w:rPr>
            </w:pPr>
            <w:r>
              <w:rPr>
                <w:b/>
                <w:bCs/>
                <w:kern w:val="0"/>
                <w:szCs w:val="21"/>
              </w:rPr>
              <w:t>出版</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kern w:val="0"/>
                <w:szCs w:val="21"/>
              </w:rPr>
            </w:pPr>
            <w:r>
              <w:rPr>
                <w:kern w:val="0"/>
                <w:szCs w:val="21"/>
              </w:rPr>
              <w:t>每人每科</w:t>
            </w:r>
            <w:r>
              <w:rPr>
                <w:rFonts w:hint="eastAsia"/>
                <w:kern w:val="0"/>
                <w:szCs w:val="21"/>
              </w:rPr>
              <w:t>18</w:t>
            </w:r>
            <w:r>
              <w:rPr>
                <w:kern w:val="0"/>
                <w:szCs w:val="21"/>
              </w:rPr>
              <w:t>元</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widowControl/>
              <w:rPr>
                <w:kern w:val="0"/>
                <w:szCs w:val="21"/>
              </w:rPr>
            </w:pPr>
            <w:r>
              <w:rPr>
                <w:kern w:val="0"/>
                <w:szCs w:val="21"/>
              </w:rPr>
              <w:t>每人每科</w:t>
            </w:r>
            <w:r>
              <w:rPr>
                <w:rFonts w:hint="eastAsia"/>
                <w:kern w:val="0"/>
                <w:szCs w:val="21"/>
              </w:rPr>
              <w:t>65</w:t>
            </w:r>
            <w:r>
              <w:rPr>
                <w:kern w:val="0"/>
                <w:szCs w:val="21"/>
              </w:rPr>
              <w:t>元</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widowControl/>
              <w:ind w:firstLine="735" w:firstLineChars="350"/>
              <w:jc w:val="both"/>
              <w:rPr>
                <w:rFonts w:hint="eastAsia"/>
                <w:kern w:val="0"/>
                <w:szCs w:val="21"/>
              </w:rPr>
            </w:pPr>
            <w:r>
              <w:rPr>
                <w:rFonts w:hint="eastAsia"/>
                <w:kern w:val="0"/>
                <w:szCs w:val="21"/>
              </w:rPr>
              <w:t>同上</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kern w:val="0"/>
                <w:szCs w:val="21"/>
              </w:rPr>
            </w:pPr>
            <w:r>
              <w:rPr>
                <w:kern w:val="0"/>
                <w:szCs w:val="21"/>
              </w:rPr>
              <w:t>承担考试报名任务的市州留用考务费4元/科</w:t>
            </w:r>
            <w:r>
              <w:rPr>
                <w:rFonts w:hint="eastAsia"/>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160" w:type="dxa"/>
            <w:tcBorders>
              <w:left w:val="single" w:color="auto" w:sz="4" w:space="0"/>
              <w:bottom w:val="single" w:color="auto" w:sz="4" w:space="0"/>
              <w:right w:val="single" w:color="auto" w:sz="4" w:space="0"/>
            </w:tcBorders>
            <w:noWrap w:val="0"/>
            <w:vAlign w:val="center"/>
          </w:tcPr>
          <w:p>
            <w:pPr>
              <w:jc w:val="center"/>
              <w:rPr>
                <w:b/>
                <w:bCs/>
                <w:color w:val="000000"/>
                <w:szCs w:val="21"/>
              </w:rPr>
            </w:pPr>
            <w:r>
              <w:rPr>
                <w:b/>
                <w:bCs/>
                <w:color w:val="000000"/>
                <w:szCs w:val="21"/>
              </w:rPr>
              <w:t>通信</w:t>
            </w:r>
          </w:p>
        </w:tc>
        <w:tc>
          <w:tcPr>
            <w:tcW w:w="1933" w:type="dxa"/>
            <w:tcBorders>
              <w:top w:val="single" w:color="auto" w:sz="4" w:space="0"/>
              <w:left w:val="single" w:color="auto" w:sz="4" w:space="0"/>
              <w:right w:val="single" w:color="auto" w:sz="4" w:space="0"/>
            </w:tcBorders>
            <w:noWrap w:val="0"/>
            <w:vAlign w:val="center"/>
          </w:tcPr>
          <w:p>
            <w:pPr>
              <w:rPr>
                <w:bCs/>
                <w:color w:val="000000"/>
                <w:szCs w:val="21"/>
              </w:rPr>
            </w:pPr>
            <w:r>
              <w:rPr>
                <w:bCs/>
                <w:color w:val="000000"/>
                <w:szCs w:val="21"/>
              </w:rPr>
              <w:t>每人每科20元</w:t>
            </w:r>
          </w:p>
        </w:tc>
        <w:tc>
          <w:tcPr>
            <w:tcW w:w="1933" w:type="dxa"/>
            <w:tcBorders>
              <w:top w:val="single" w:color="auto" w:sz="4" w:space="0"/>
              <w:left w:val="single" w:color="auto" w:sz="4" w:space="0"/>
              <w:right w:val="single" w:color="auto" w:sz="4" w:space="0"/>
            </w:tcBorders>
            <w:noWrap w:val="0"/>
            <w:vAlign w:val="center"/>
          </w:tcPr>
          <w:p>
            <w:pPr>
              <w:rPr>
                <w:bCs/>
                <w:color w:val="000000"/>
                <w:szCs w:val="21"/>
              </w:rPr>
            </w:pPr>
            <w:r>
              <w:rPr>
                <w:bCs/>
                <w:color w:val="000000"/>
                <w:szCs w:val="21"/>
              </w:rPr>
              <w:t>每人每科65元</w:t>
            </w:r>
          </w:p>
        </w:tc>
        <w:tc>
          <w:tcPr>
            <w:tcW w:w="2179" w:type="dxa"/>
            <w:tcBorders>
              <w:left w:val="single" w:color="auto" w:sz="4" w:space="0"/>
              <w:bottom w:val="single" w:color="auto" w:sz="4" w:space="0"/>
              <w:right w:val="single" w:color="auto" w:sz="4" w:space="0"/>
            </w:tcBorders>
            <w:noWrap w:val="0"/>
            <w:vAlign w:val="center"/>
          </w:tcPr>
          <w:p>
            <w:pPr>
              <w:widowControl/>
              <w:rPr>
                <w:kern w:val="0"/>
                <w:szCs w:val="21"/>
              </w:rPr>
            </w:pPr>
            <w:r>
              <w:rPr>
                <w:bCs/>
                <w:szCs w:val="21"/>
              </w:rPr>
              <w:t>《国家发展改革委、财政部关于全国通信专业技术人员职业资格水平考试收费标准及有关问题的通知》发改价〔2011〕2402号和吉省价收函字〔2016〕248号</w:t>
            </w:r>
          </w:p>
        </w:tc>
        <w:tc>
          <w:tcPr>
            <w:tcW w:w="1890" w:type="dxa"/>
            <w:tcBorders>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7" w:hRule="exact"/>
          <w:jc w:val="center"/>
        </w:trPr>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b/>
                <w:bCs/>
                <w:color w:val="000000"/>
                <w:szCs w:val="21"/>
              </w:rPr>
            </w:pPr>
            <w:r>
              <w:rPr>
                <w:b/>
                <w:bCs/>
                <w:color w:val="000000"/>
                <w:szCs w:val="21"/>
              </w:rPr>
              <w:t>计算机</w:t>
            </w:r>
          </w:p>
          <w:p>
            <w:pPr>
              <w:jc w:val="center"/>
              <w:rPr>
                <w:b/>
                <w:bCs/>
                <w:color w:val="000000"/>
                <w:szCs w:val="21"/>
              </w:rPr>
            </w:pPr>
            <w:r>
              <w:rPr>
                <w:b/>
                <w:bCs/>
                <w:color w:val="000000"/>
                <w:szCs w:val="21"/>
              </w:rPr>
              <w:t>技术与软件</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rPr>
                <w:bCs/>
                <w:color w:val="000000"/>
                <w:szCs w:val="21"/>
              </w:rPr>
            </w:pPr>
            <w:r>
              <w:rPr>
                <w:bCs/>
                <w:color w:val="000000"/>
                <w:szCs w:val="21"/>
              </w:rPr>
              <w:t>每人每科</w:t>
            </w:r>
            <w:r>
              <w:rPr>
                <w:rFonts w:hint="eastAsia"/>
                <w:bCs/>
                <w:color w:val="000000"/>
                <w:szCs w:val="21"/>
              </w:rPr>
              <w:t>18</w:t>
            </w:r>
            <w:r>
              <w:rPr>
                <w:bCs/>
                <w:color w:val="000000"/>
                <w:szCs w:val="21"/>
              </w:rPr>
              <w:t>元</w:t>
            </w:r>
          </w:p>
        </w:tc>
        <w:tc>
          <w:tcPr>
            <w:tcW w:w="1933" w:type="dxa"/>
            <w:tcBorders>
              <w:top w:val="single" w:color="auto" w:sz="4" w:space="0"/>
              <w:left w:val="single" w:color="auto" w:sz="4" w:space="0"/>
              <w:bottom w:val="single" w:color="auto" w:sz="4" w:space="0"/>
              <w:right w:val="single" w:color="auto" w:sz="4" w:space="0"/>
            </w:tcBorders>
            <w:noWrap w:val="0"/>
            <w:vAlign w:val="center"/>
          </w:tcPr>
          <w:p>
            <w:pPr>
              <w:rPr>
                <w:bCs/>
                <w:color w:val="000000"/>
                <w:szCs w:val="21"/>
              </w:rPr>
            </w:pPr>
            <w:r>
              <w:rPr>
                <w:rFonts w:hint="eastAsia"/>
                <w:bCs/>
                <w:color w:val="000000"/>
                <w:szCs w:val="21"/>
              </w:rPr>
              <w:t>每人每科65元</w:t>
            </w:r>
          </w:p>
        </w:tc>
        <w:tc>
          <w:tcPr>
            <w:tcW w:w="2179" w:type="dxa"/>
            <w:tcBorders>
              <w:top w:val="single" w:color="auto" w:sz="4" w:space="0"/>
              <w:left w:val="single" w:color="auto" w:sz="4" w:space="0"/>
              <w:bottom w:val="single" w:color="auto" w:sz="4" w:space="0"/>
              <w:right w:val="single" w:color="auto" w:sz="4" w:space="0"/>
            </w:tcBorders>
            <w:noWrap w:val="0"/>
            <w:vAlign w:val="center"/>
          </w:tcPr>
          <w:p>
            <w:pPr>
              <w:rPr>
                <w:bCs/>
                <w:color w:val="000000"/>
                <w:szCs w:val="21"/>
              </w:rPr>
            </w:pPr>
            <w:r>
              <w:rPr>
                <w:bCs/>
                <w:szCs w:val="21"/>
              </w:rPr>
              <w:t>《</w:t>
            </w:r>
            <w:r>
              <w:rPr>
                <w:rFonts w:hint="eastAsia"/>
                <w:bCs/>
                <w:szCs w:val="21"/>
              </w:rPr>
              <w:t>工业和信息化部教育与考试中心关于计算机技术与软件专业技术资格考试等三项考试考务费标准</w:t>
            </w:r>
            <w:r>
              <w:rPr>
                <w:bCs/>
                <w:szCs w:val="21"/>
              </w:rPr>
              <w:t>的通知》（</w:t>
            </w:r>
            <w:r>
              <w:rPr>
                <w:rFonts w:hint="eastAsia"/>
                <w:bCs/>
                <w:szCs w:val="21"/>
              </w:rPr>
              <w:t>工信教</w:t>
            </w:r>
            <w:r>
              <w:rPr>
                <w:bCs/>
                <w:szCs w:val="21"/>
              </w:rPr>
              <w:t>〔201</w:t>
            </w:r>
            <w:r>
              <w:rPr>
                <w:rFonts w:hint="eastAsia"/>
                <w:bCs/>
                <w:szCs w:val="21"/>
              </w:rPr>
              <w:t>6</w:t>
            </w:r>
            <w:r>
              <w:rPr>
                <w:bCs/>
                <w:szCs w:val="21"/>
              </w:rPr>
              <w:t>〕</w:t>
            </w:r>
            <w:r>
              <w:rPr>
                <w:rFonts w:hint="eastAsia"/>
                <w:bCs/>
                <w:szCs w:val="21"/>
              </w:rPr>
              <w:t>111</w:t>
            </w:r>
            <w:r>
              <w:rPr>
                <w:bCs/>
                <w:szCs w:val="21"/>
              </w:rPr>
              <w:t>号）和吉省价收〔2016〕248号</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b/>
                <w:bCs/>
                <w:szCs w:val="21"/>
              </w:rPr>
            </w:pPr>
            <w:r>
              <w:rPr>
                <w:kern w:val="0"/>
                <w:szCs w:val="21"/>
              </w:rPr>
              <w:t>同上</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620A11"/>
    <w:rsid w:val="2015398F"/>
    <w:rsid w:val="28620A11"/>
    <w:rsid w:val="2DBF646B"/>
    <w:rsid w:val="329F240E"/>
    <w:rsid w:val="5FC75A28"/>
    <w:rsid w:val="6DF4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2019-08-06T04:03:00Z</dcterms:created>
  <dc:creator>巧克力豆</dc:creator>
  <cp:lastModifiedBy>巧克力豆</cp:lastModifiedBy>
  <dcterms:modified xsi:type="dcterms:W3CDTF">2019-08-19T02:07:53Z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